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160F7C">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 xml:space="preserve">eine Geräte-CAL von einem Gerät zu einem anderen Gerät vorübergehend neu zuzuweisen, um kurzzeitig die Nichtverfügbarkeit eines Geräts, das außer Betrieb ist, zu überbrücken, bzw. vorübergehend eine Nutzer-CAL </w:t>
      </w:r>
      <w:r>
        <w:rPr>
          <w:sz w:val="20"/>
          <w:szCs w:val="20"/>
        </w:rPr>
        <w:lastRenderedPageBreak/>
        <w:t>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P28AF5qAFAoeuvpsyg4WgZQw/UwzmJ3JohfoFxAvAWiQqgrK7c8h25d5pH9pMK2J4EnT1nL6X1LM3dRIhqAdA==" w:salt="2MX8fuGdoawugFYjFFHDD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0F7C"/>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E5F8884-5F28-41B0-BD3F-CDCC9B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04608-C5B0-42C7-9229-3040ECEE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